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2C" w:rsidRPr="0006702C" w:rsidRDefault="0006702C" w:rsidP="0006702C">
      <w:pPr>
        <w:shd w:val="clear" w:color="auto" w:fill="FFFFFF"/>
        <w:spacing w:before="495" w:after="345" w:line="600" w:lineRule="atLeast"/>
        <w:outlineLvl w:val="0"/>
        <w:rPr>
          <w:rFonts w:ascii="Merriweather" w:eastAsia="Times New Roman" w:hAnsi="Merriweather" w:cs="Times New Roman"/>
          <w:b/>
          <w:bCs/>
          <w:color w:val="2E74B5" w:themeColor="accent1" w:themeShade="BF"/>
          <w:kern w:val="36"/>
          <w:sz w:val="48"/>
          <w:szCs w:val="48"/>
          <w:lang w:val="es-ES"/>
        </w:rPr>
      </w:pPr>
      <w:proofErr w:type="gramStart"/>
      <w:r w:rsidRPr="0006702C">
        <w:rPr>
          <w:rFonts w:ascii="Merriweather" w:eastAsia="Times New Roman" w:hAnsi="Merriweather" w:cs="Times New Roman"/>
          <w:b/>
          <w:bCs/>
          <w:color w:val="2E74B5" w:themeColor="accent1" w:themeShade="BF"/>
          <w:kern w:val="36"/>
          <w:sz w:val="48"/>
          <w:szCs w:val="48"/>
          <w:lang w:val="es-ES"/>
        </w:rPr>
        <w:t>ORDENANZA Nº</w:t>
      </w:r>
      <w:proofErr w:type="gramEnd"/>
      <w:r w:rsidRPr="0006702C">
        <w:rPr>
          <w:rFonts w:ascii="Merriweather" w:eastAsia="Times New Roman" w:hAnsi="Merriweather" w:cs="Times New Roman"/>
          <w:b/>
          <w:bCs/>
          <w:color w:val="2E74B5" w:themeColor="accent1" w:themeShade="BF"/>
          <w:kern w:val="36"/>
          <w:sz w:val="48"/>
          <w:szCs w:val="48"/>
          <w:lang w:val="es-ES"/>
        </w:rPr>
        <w:t xml:space="preserve"> 877</w:t>
      </w:r>
    </w:p>
    <w:p w:rsidR="0006702C" w:rsidRPr="0006702C" w:rsidRDefault="0006702C" w:rsidP="0006702C">
      <w:pPr>
        <w:shd w:val="clear" w:color="auto" w:fill="FFFFFF"/>
        <w:spacing w:before="495" w:after="345" w:line="600" w:lineRule="atLeast"/>
        <w:outlineLvl w:val="0"/>
        <w:rPr>
          <w:rFonts w:ascii="Merriweather" w:eastAsia="Times New Roman" w:hAnsi="Merriweather" w:cs="Times New Roman"/>
          <w:b/>
          <w:bCs/>
          <w:color w:val="C00000"/>
          <w:kern w:val="36"/>
          <w:sz w:val="48"/>
          <w:szCs w:val="48"/>
          <w:lang w:val="es-ES"/>
        </w:rPr>
      </w:pPr>
      <w:r w:rsidRPr="0006702C">
        <w:rPr>
          <w:rFonts w:ascii="Merriweather" w:hAnsi="Merriweather"/>
          <w:b/>
          <w:caps/>
          <w:color w:val="C00000"/>
          <w:sz w:val="21"/>
          <w:szCs w:val="21"/>
          <w:shd w:val="clear" w:color="auto" w:fill="FFFFFF"/>
          <w:lang w:val="es-ES"/>
        </w:rPr>
        <w:t>DECLARACIVN DEL SALÓN CERVANTES COMO SITIO DE PATRIMONIO HISTÓRICO-CULTURAL Y ARQUITECTÓNICO DE LA CIUDAD</w:t>
      </w:r>
      <w:bookmarkStart w:id="0" w:name="_GoBack"/>
      <w:bookmarkEnd w:id="0"/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ES"/>
        </w:rPr>
        <w:t>VISTO: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La celebración del Centenario del Salón Cervantes a cumplirse durante este año 2011; y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ES"/>
        </w:rPr>
        <w:t>CONSIDERANDO: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Que el Salón Cervantes es una de las pocas construcciones “históricas” existentes en nuestra localidad;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 xml:space="preserve">Que su construcción se inició en 1906 y finalizó en 1911, por iniciativa de inmigrantes españoles, reunidos en la Sociedad Española y que por muchos años fue conservado por la misma hasta que, habiendo desaparecido dicha entidad fue vendido al Club Atlético </w:t>
      </w:r>
      <w:proofErr w:type="spellStart"/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Trebolense</w:t>
      </w:r>
      <w:proofErr w:type="spellEnd"/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Que es conservatorio de la memoria de nuestro pueblo;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Que es un justo reconocimiento a un sitio que cobija innumerables recuerdos de generaciones pasadas y continúa siendo un recinto que alberga a variadas instituciones artísticas y culturales;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Que existe documentación que declara de Interés Público Municipal dicha Sala (Ord. Nº 178/92);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Que para preservar dicho inmueble lo adquirió el Municipio en el año 1992, según consta en el Decreto Nº 279;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Que la declaración del valor histórico-cultural, lleva aparejado un interés público municipal, propendiendo a su preservación, impidiendo por todos los medios posibles su degradación;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Que en lo que respecta a su arquitectura, el sitio no ha recibido cambios traumáticos; por el contrario, ha sido preservado por quienes lo han tenido a su cargo y sólo se han realizado las reparaciones y restauraciones necesarias para mantener y garantizar su habitabilidad;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Que esta gestión municipal viene priorizando el desarrollo, difusión, preservación y reglamentación de todos aquellos temas que tengan como objetivo primordial realzar el potencial económico, social, tradicional, cultural y educativo de la ciudad con miras a mejorar la calidad de vida de toda la comunidad;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lastRenderedPageBreak/>
        <w:t>Que los Sres. Concejales, coincidiendo con los argumentos expuestos, expresan en forma unánime su conformidad a la propuesta;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Por todo ello, el H. Concejo Municipal de El Trébol, en uso de las atribuciones que le confiere la Ley Orgánica de Municipalidades Nº 2756, sanciona la siguiente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ES"/>
        </w:rPr>
        <w:t>O R D E N A N Z A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ES"/>
        </w:rPr>
        <w:t>ARTÍCULO 1º:</w:t>
      </w: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 xml:space="preserve">        Declárase al Salón Cervantes, sito en la calle Rosario 780, como Sitio de Patrimonio Histórico-Cultural y Arquitectónico de la ciudad de El </w:t>
      </w:r>
      <w:proofErr w:type="gramStart"/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Trébol.-</w:t>
      </w:r>
      <w:proofErr w:type="gramEnd"/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ES"/>
        </w:rPr>
        <w:t>ARTÍCULO 2º:</w:t>
      </w: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 xml:space="preserve">        La Municipalidad de El Trébol adoptará las medidas necesarias para gestionar aportes ante organismos nacionales y provinciales gubernamentales, instituciones públicas o privadas, con el fin de garantizar la conservación de dicho patrimonio </w:t>
      </w:r>
      <w:proofErr w:type="gramStart"/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histórico.-</w:t>
      </w:r>
      <w:proofErr w:type="gramEnd"/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ES"/>
        </w:rPr>
        <w:t>ARTÍCULO 3º:</w:t>
      </w: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        En el Salón Cervantes sólo podrán llevarse a cabo</w:t>
      </w: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br/>
        <w:t>actividades culturales, en sus variadas manifestaciones, de interés comunitario o de índole diversa, en la medida que no se ponga en riesgo la estructura edilicia ni su estado de conservación.-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ES"/>
        </w:rPr>
        <w:t>ARTÍCULO 4º:</w:t>
      </w: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 xml:space="preserve">        La organización funcional del lugar estará a cargo de la Dirección de Educación y Cultura y su preservación estará supervisada por la Secretaría de Planeamiento Urbano y Gestión Ambiental y/o por las áreas que en el </w:t>
      </w:r>
      <w:proofErr w:type="gramStart"/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futuro  los</w:t>
      </w:r>
      <w:proofErr w:type="gramEnd"/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 xml:space="preserve"> suplanten.-</w:t>
      </w:r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ES"/>
        </w:rPr>
        <w:t>ARTÍCULO 5º:</w:t>
      </w: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 xml:space="preserve">        Dispóngase la colocación de una placa recordatoria por el Centenario del Salón Cervantes y otra que especifique su carácter de Edificio declarado de Patrimonio Histórico-Cultural y Arquitectónico, figurando en la misma el número de Ordenanza que así lo </w:t>
      </w:r>
      <w:proofErr w:type="gramStart"/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declara.-</w:t>
      </w:r>
      <w:proofErr w:type="gramEnd"/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ES"/>
        </w:rPr>
        <w:t>ARTÍCULO 6º:</w:t>
      </w: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 xml:space="preserve">        Comuníquese, promúlguese, publíquese y dese al Registro </w:t>
      </w:r>
      <w:proofErr w:type="gramStart"/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Municipal.-</w:t>
      </w:r>
      <w:proofErr w:type="gramEnd"/>
    </w:p>
    <w:p w:rsidR="0006702C" w:rsidRPr="0006702C" w:rsidRDefault="0006702C" w:rsidP="0006702C">
      <w:pPr>
        <w:shd w:val="clear" w:color="auto" w:fill="FFFFFF"/>
        <w:spacing w:after="270" w:line="270" w:lineRule="atLeast"/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</w:pPr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 xml:space="preserve">Dada en la Sala de Sesiones del H. Concejo Municipal de la ciudad de El Trébol, Departamento San Martín, Provincia de Santa Fe, a los diecisiete días del mes de mayo del año dos mil </w:t>
      </w:r>
      <w:proofErr w:type="gramStart"/>
      <w:r w:rsidRPr="0006702C">
        <w:rPr>
          <w:rFonts w:ascii="Merriweather" w:eastAsia="Times New Roman" w:hAnsi="Merriweather" w:cs="Times New Roman"/>
          <w:color w:val="222222"/>
          <w:sz w:val="23"/>
          <w:szCs w:val="23"/>
          <w:lang w:val="es-ES"/>
        </w:rPr>
        <w:t>once.-</w:t>
      </w:r>
      <w:proofErr w:type="gramEnd"/>
    </w:p>
    <w:p w:rsidR="00F85047" w:rsidRPr="0006702C" w:rsidRDefault="0006702C">
      <w:pPr>
        <w:rPr>
          <w:lang w:val="es-ES"/>
        </w:rPr>
      </w:pPr>
    </w:p>
    <w:sectPr w:rsidR="00F85047" w:rsidRPr="000670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2C"/>
    <w:rsid w:val="0006702C"/>
    <w:rsid w:val="000B03BA"/>
    <w:rsid w:val="000C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A1DD"/>
  <w15:chartTrackingRefBased/>
  <w15:docId w15:val="{E37F5B99-43BF-4F57-87E3-91C9B70D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2023-05-16T22:37:00Z</dcterms:created>
  <dcterms:modified xsi:type="dcterms:W3CDTF">2023-05-16T22:38:00Z</dcterms:modified>
</cp:coreProperties>
</file>